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221" w:rsidRDefault="009D6221" w:rsidP="00F7722B">
      <w:pPr>
        <w:pStyle w:val="NormalWeb"/>
        <w:spacing w:before="0" w:beforeAutospacing="0" w:after="0" w:afterAutospacing="0"/>
        <w:rPr>
          <w:color w:val="1C1E29"/>
        </w:rPr>
      </w:pPr>
    </w:p>
    <w:p w:rsidR="009D6221" w:rsidRDefault="00F53BF0" w:rsidP="00F53BF0">
      <w:pPr>
        <w:pStyle w:val="NormalWeb"/>
        <w:tabs>
          <w:tab w:val="left" w:pos="6960"/>
        </w:tabs>
        <w:spacing w:before="0" w:beforeAutospacing="0" w:after="0" w:afterAutospacing="0"/>
        <w:rPr>
          <w:color w:val="1C1E29"/>
        </w:rPr>
      </w:pPr>
      <w:r>
        <w:rPr>
          <w:color w:val="1C1E29"/>
        </w:rPr>
        <w:tab/>
      </w:r>
    </w:p>
    <w:p w:rsidR="009D6221" w:rsidRDefault="009D6221" w:rsidP="00F7722B">
      <w:pPr>
        <w:pStyle w:val="NormalWeb"/>
        <w:spacing w:before="0" w:beforeAutospacing="0" w:after="0" w:afterAutospacing="0"/>
        <w:rPr>
          <w:color w:val="1C1E29"/>
        </w:rPr>
      </w:pPr>
    </w:p>
    <w:p w:rsidR="009D6221" w:rsidRDefault="009D6221" w:rsidP="00F7722B">
      <w:pPr>
        <w:pStyle w:val="NormalWeb"/>
        <w:spacing w:before="0" w:beforeAutospacing="0" w:after="0" w:afterAutospacing="0"/>
        <w:rPr>
          <w:color w:val="1C1E29"/>
        </w:rPr>
      </w:pPr>
    </w:p>
    <w:p w:rsidR="009D6221" w:rsidRDefault="009D6221" w:rsidP="00F7722B">
      <w:pPr>
        <w:pStyle w:val="NormalWeb"/>
        <w:spacing w:before="0" w:beforeAutospacing="0" w:after="0" w:afterAutospacing="0"/>
        <w:rPr>
          <w:color w:val="1C1E29"/>
        </w:rPr>
      </w:pPr>
    </w:p>
    <w:p w:rsidR="009D6221" w:rsidRDefault="009D6221" w:rsidP="00F7722B">
      <w:pPr>
        <w:pStyle w:val="NormalWeb"/>
        <w:spacing w:before="0" w:beforeAutospacing="0" w:after="0" w:afterAutospacing="0"/>
        <w:rPr>
          <w:color w:val="1C1E29"/>
        </w:rPr>
      </w:pPr>
    </w:p>
    <w:p w:rsidR="009D6221" w:rsidRDefault="009D6221" w:rsidP="00F7722B">
      <w:pPr>
        <w:pStyle w:val="NormalWeb"/>
        <w:spacing w:before="0" w:beforeAutospacing="0" w:after="0" w:afterAutospacing="0"/>
        <w:rPr>
          <w:color w:val="1C1E29"/>
        </w:rPr>
      </w:pPr>
    </w:p>
    <w:p w:rsidR="009D6221" w:rsidRDefault="009D6221" w:rsidP="00F7722B">
      <w:pPr>
        <w:pStyle w:val="NormalWeb"/>
        <w:spacing w:before="0" w:beforeAutospacing="0" w:after="0" w:afterAutospacing="0"/>
        <w:rPr>
          <w:color w:val="1C1E29"/>
        </w:rPr>
      </w:pPr>
    </w:p>
    <w:p w:rsidR="009D6221" w:rsidRPr="00F53BF0" w:rsidRDefault="00392978" w:rsidP="00F53BF0">
      <w:pPr>
        <w:pStyle w:val="NormalWeb"/>
        <w:spacing w:before="0" w:beforeAutospacing="0" w:after="0" w:afterAutospacing="0" w:line="480" w:lineRule="auto"/>
        <w:jc w:val="center"/>
        <w:rPr>
          <w:color w:val="1C1E29"/>
        </w:rPr>
      </w:pPr>
      <w:r w:rsidRPr="00F53BF0">
        <w:rPr>
          <w:color w:val="1C1E29"/>
        </w:rPr>
        <w:t>Health Assignment</w:t>
      </w:r>
    </w:p>
    <w:p w:rsidR="00392978" w:rsidRPr="00F53BF0" w:rsidRDefault="00392978" w:rsidP="00F53BF0">
      <w:pPr>
        <w:pStyle w:val="NormalWeb"/>
        <w:spacing w:before="0" w:beforeAutospacing="0" w:after="0" w:afterAutospacing="0" w:line="480" w:lineRule="auto"/>
        <w:jc w:val="center"/>
        <w:rPr>
          <w:color w:val="1C1E29"/>
        </w:rPr>
      </w:pPr>
      <w:r w:rsidRPr="00F53BF0">
        <w:rPr>
          <w:color w:val="1C1E29"/>
        </w:rPr>
        <w:t>Student’s Name</w:t>
      </w:r>
    </w:p>
    <w:p w:rsidR="00392978" w:rsidRPr="00F53BF0" w:rsidRDefault="00392978" w:rsidP="00F53BF0">
      <w:pPr>
        <w:pStyle w:val="NormalWeb"/>
        <w:spacing w:before="0" w:beforeAutospacing="0" w:after="0" w:afterAutospacing="0" w:line="480" w:lineRule="auto"/>
        <w:jc w:val="center"/>
        <w:rPr>
          <w:color w:val="1C1E29"/>
        </w:rPr>
      </w:pPr>
      <w:r w:rsidRPr="00F53BF0">
        <w:rPr>
          <w:color w:val="1C1E29"/>
        </w:rPr>
        <w:t>Institution</w:t>
      </w:r>
    </w:p>
    <w:p w:rsidR="00392978" w:rsidRPr="00F53BF0" w:rsidRDefault="00392978" w:rsidP="00F53BF0">
      <w:pPr>
        <w:pStyle w:val="NormalWeb"/>
        <w:spacing w:before="0" w:beforeAutospacing="0" w:after="0" w:afterAutospacing="0" w:line="480" w:lineRule="auto"/>
        <w:jc w:val="center"/>
        <w:rPr>
          <w:color w:val="1C1E29"/>
        </w:rPr>
      </w:pPr>
      <w:r w:rsidRPr="00F53BF0">
        <w:rPr>
          <w:color w:val="1C1E29"/>
        </w:rPr>
        <w:t>Date</w:t>
      </w:r>
    </w:p>
    <w:p w:rsidR="00925EB0" w:rsidRDefault="00925EB0">
      <w:pPr>
        <w:rPr>
          <w:rFonts w:ascii="Times New Roman" w:eastAsia="Times New Roman" w:hAnsi="Times New Roman" w:cs="Times New Roman"/>
          <w:color w:val="1C1E29"/>
          <w:sz w:val="24"/>
          <w:szCs w:val="24"/>
          <w:lang w:eastAsia="en-GB"/>
        </w:rPr>
      </w:pPr>
      <w:r>
        <w:rPr>
          <w:color w:val="1C1E29"/>
        </w:rPr>
        <w:br w:type="page"/>
      </w:r>
    </w:p>
    <w:p w:rsidR="00992EF7" w:rsidRPr="00430CBB" w:rsidRDefault="00992EF7" w:rsidP="00430CBB">
      <w:pPr>
        <w:pStyle w:val="NormalWeb"/>
        <w:spacing w:before="0" w:beforeAutospacing="0" w:after="0" w:afterAutospacing="0" w:line="480" w:lineRule="auto"/>
        <w:jc w:val="center"/>
        <w:rPr>
          <w:color w:val="1C1E29"/>
        </w:rPr>
      </w:pPr>
      <w:r w:rsidRPr="00430CBB">
        <w:rPr>
          <w:color w:val="1C1E29"/>
        </w:rPr>
        <w:lastRenderedPageBreak/>
        <w:t>Health Assignment</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Question 4.1: Stages of consciousness</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The state of waking is a scenario where an individual is aware of what is happening in the surroundings and is awake, feeling stimuli originating from internal and external sources. Consciousness interruption entails a distortion of the state of waking that occurs regularly (Megan, 2016). Sleep has stages including non-rapid eye movement (NREM) stages 1, 2, 3, and the rapid eye movement (REM). Circadian rhythm is a regular cycle that internally controls activities like sleeping and rising. To restore circadian rhythm in case of a new work schedule is initiating a routine where you strictly abide daily, maintaining both the waking and sleeping time.</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Question 4.2: Major brain mechanism of eating, thirst, and hunger</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Thirst, hunger, and consumption are controlled by the hypothalamus located in the brains. In the case of desire, messages secreted chemically are sent to the brain when the stomach contract, leading to the initiation of the feeding process (Jourjine,2017). Anorexia nervosa victims experience starvation and maintain a low weight. For instance, a student tends to ignore the urge to eat during classes and ensures a vigorous exercise each day, by probably substituting food for a snack, to maintain homeostasis.</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Question 5: Functions of left and right hemisphere of the brain</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The right hemisphere accomplishes activities that relate to art and creativity and controls the body's left side. The left hemisphere executes logical tasks like mathematics and regulates the body's right side (</w:t>
      </w:r>
      <w:proofErr w:type="spellStart"/>
      <w:r w:rsidRPr="00430CBB">
        <w:rPr>
          <w:color w:val="1C1E29"/>
        </w:rPr>
        <w:t>Riès</w:t>
      </w:r>
      <w:proofErr w:type="spellEnd"/>
      <w:r w:rsidRPr="00430CBB">
        <w:rPr>
          <w:color w:val="1C1E29"/>
        </w:rPr>
        <w:t xml:space="preserve">, </w:t>
      </w:r>
      <w:proofErr w:type="spellStart"/>
      <w:r w:rsidRPr="00430CBB">
        <w:rPr>
          <w:color w:val="1C1E29"/>
        </w:rPr>
        <w:t>Dronkers</w:t>
      </w:r>
      <w:proofErr w:type="spellEnd"/>
      <w:r w:rsidRPr="00430CBB">
        <w:rPr>
          <w:color w:val="1C1E29"/>
        </w:rPr>
        <w:t>, &amp; Knight, 2016). Moreover, people whose left hemisphere are dominant are objective and perfect in analysis and logic. In case the right region dominates an individual, it leads to creativity, high emotions, and intuition. In my thoughts, I have left hemisphere dominated by the ability to solve logical exercises. About genetics, my mother is more right hemisphere dominated, and dad is left hemisphere dominated.</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lastRenderedPageBreak/>
        <w:t>Question 6: General Adaptation Syndrome stages</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The stages include alarm reaction, resistance, and exhaustion (Baffy, 2017). The alarm reaction stage, adrenaline, is released after a trigger by the glucocorticoids, increasing energy, blood pressure, and heartbeat, leading to a rise in sugar levels. The resistance stage, production of the stress hormone, is minimized, with pulse and pressure of the blood getting back to normal. However, stress hormone production continues if the situation is not solved. In the exhaustion stage, an individual experiences anxiety and tiredness and eventually get depressed.</w:t>
      </w:r>
    </w:p>
    <w:p w:rsidR="00925EB0" w:rsidRDefault="00925EB0">
      <w:pPr>
        <w:rPr>
          <w:rStyle w:val="Strong"/>
          <w:rFonts w:ascii="Times New Roman" w:eastAsia="Times New Roman" w:hAnsi="Times New Roman" w:cs="Times New Roman"/>
          <w:color w:val="1C1E29"/>
          <w:sz w:val="24"/>
          <w:szCs w:val="24"/>
          <w:lang w:eastAsia="en-GB"/>
        </w:rPr>
      </w:pPr>
      <w:r>
        <w:rPr>
          <w:rStyle w:val="Strong"/>
          <w:color w:val="1C1E29"/>
        </w:rPr>
        <w:br w:type="page"/>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lastRenderedPageBreak/>
        <w:t>My risk of developing stress-related illness from experience</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In the past final exam, the stress levels score is 160, showing the chance of getting stress-related sickness. I would feel exhausted and depressed due to t lack of understanding of revision materials. However, seeking peers' advice and having exercises helped me battle the stress.</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Visual pathways from external stimulus to the visual cortex</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Rays of light from the environment enter the eye through the cornea and retina. At the retina, there are cones and rods, which are specialized cells that act as photoreceptors (</w:t>
      </w:r>
      <w:proofErr w:type="spellStart"/>
      <w:r w:rsidRPr="00430CBB">
        <w:rPr>
          <w:color w:val="1C1E29"/>
        </w:rPr>
        <w:t>Dragoi</w:t>
      </w:r>
      <w:proofErr w:type="spellEnd"/>
      <w:r w:rsidRPr="00430CBB">
        <w:rPr>
          <w:color w:val="1C1E29"/>
        </w:rPr>
        <w:t>, 2018). They convert the light rays in photons for smooth transmission through the optic nerve. Through optic nerve, photons reach the thalamus and are transmitted cerebral cortex to interpret information.</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Additionally, each eye sends different images to the optic nerve since both eyes take a picture with different perspectives. The cerebral cortex ensures the models are stable and makes it singe after processing it. Paths, where analysis of the visual representation occurs, are dorsal and ventral pathways. The ventral pathway ends to the temporal lobe and gives information about the type of the image obtained. The dorsal pathway ends in the brain's parietal lobe and shows the origin of the image in either eye.</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 xml:space="preserve">Theories on </w:t>
      </w:r>
      <w:r w:rsidR="00925EB0" w:rsidRPr="00430CBB">
        <w:rPr>
          <w:rStyle w:val="Strong"/>
          <w:color w:val="1C1E29"/>
        </w:rPr>
        <w:t>colour</w:t>
      </w:r>
      <w:r w:rsidRPr="00430CBB">
        <w:rPr>
          <w:rStyle w:val="Strong"/>
          <w:color w:val="1C1E29"/>
        </w:rPr>
        <w:t xml:space="preserve"> and visual perception</w:t>
      </w:r>
    </w:p>
    <w:p w:rsidR="00992EF7" w:rsidRPr="00430CBB" w:rsidRDefault="00992EF7" w:rsidP="00925EB0">
      <w:pPr>
        <w:pStyle w:val="NormalWeb"/>
        <w:spacing w:before="0" w:beforeAutospacing="0" w:after="0" w:afterAutospacing="0" w:line="480" w:lineRule="auto"/>
        <w:rPr>
          <w:color w:val="1C1E29"/>
        </w:rPr>
      </w:pPr>
      <w:r w:rsidRPr="00430CBB">
        <w:rPr>
          <w:color w:val="1C1E29"/>
        </w:rPr>
        <w:t xml:space="preserve"> Trichromatic theory and opponent-process theory explain more on the color vision and perceptions of the things we see (Best, 2017). The trichromatic theory argues that the system involved in obtaining visual images can only respond to three </w:t>
      </w:r>
      <w:proofErr w:type="spellStart"/>
      <w:r w:rsidRPr="00430CBB">
        <w:rPr>
          <w:color w:val="1C1E29"/>
        </w:rPr>
        <w:t>colors</w:t>
      </w:r>
      <w:proofErr w:type="spellEnd"/>
      <w:r w:rsidRPr="00430CBB">
        <w:rPr>
          <w:color w:val="1C1E29"/>
        </w:rPr>
        <w:t xml:space="preserve"> in maximum. Additionally, it states that these three </w:t>
      </w:r>
      <w:proofErr w:type="spellStart"/>
      <w:r w:rsidRPr="00430CBB">
        <w:rPr>
          <w:color w:val="1C1E29"/>
        </w:rPr>
        <w:t>colors</w:t>
      </w:r>
      <w:proofErr w:type="spellEnd"/>
      <w:r w:rsidRPr="00430CBB">
        <w:rPr>
          <w:color w:val="1C1E29"/>
        </w:rPr>
        <w:t xml:space="preserve"> originate from a mixture of lights with both different </w:t>
      </w:r>
      <w:proofErr w:type="spellStart"/>
      <w:r w:rsidRPr="00430CBB">
        <w:rPr>
          <w:color w:val="1C1E29"/>
        </w:rPr>
        <w:t>colors</w:t>
      </w:r>
      <w:proofErr w:type="spellEnd"/>
      <w:r w:rsidRPr="00430CBB">
        <w:rPr>
          <w:color w:val="1C1E29"/>
        </w:rPr>
        <w:t xml:space="preserve"> and wavelengths. Due to the mixing of </w:t>
      </w:r>
      <w:proofErr w:type="spellStart"/>
      <w:r w:rsidRPr="00430CBB">
        <w:rPr>
          <w:color w:val="1C1E29"/>
        </w:rPr>
        <w:t>colors</w:t>
      </w:r>
      <w:proofErr w:type="spellEnd"/>
      <w:r w:rsidRPr="00430CBB">
        <w:rPr>
          <w:color w:val="1C1E29"/>
        </w:rPr>
        <w:t xml:space="preserve">, they generate one color, which results in a vision of the </w:t>
      </w:r>
      <w:proofErr w:type="spellStart"/>
      <w:r w:rsidRPr="00430CBB">
        <w:rPr>
          <w:color w:val="1C1E29"/>
        </w:rPr>
        <w:t>colors</w:t>
      </w:r>
      <w:proofErr w:type="spellEnd"/>
      <w:r w:rsidRPr="00430CBB">
        <w:rPr>
          <w:color w:val="1C1E29"/>
        </w:rPr>
        <w:t>.</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lastRenderedPageBreak/>
        <w:t xml:space="preserve">The opponent-process theory argues that only three pairs of </w:t>
      </w:r>
      <w:proofErr w:type="spellStart"/>
      <w:r w:rsidRPr="00430CBB">
        <w:rPr>
          <w:color w:val="1C1E29"/>
        </w:rPr>
        <w:t>colors</w:t>
      </w:r>
      <w:proofErr w:type="spellEnd"/>
      <w:r w:rsidRPr="00430CBB">
        <w:rPr>
          <w:color w:val="1C1E29"/>
        </w:rPr>
        <w:t xml:space="preserve"> can be responded to by the visual system. These </w:t>
      </w:r>
      <w:proofErr w:type="spellStart"/>
      <w:r w:rsidRPr="00430CBB">
        <w:rPr>
          <w:color w:val="1C1E29"/>
        </w:rPr>
        <w:t>colors</w:t>
      </w:r>
      <w:proofErr w:type="spellEnd"/>
      <w:r w:rsidRPr="00430CBB">
        <w:rPr>
          <w:color w:val="1C1E29"/>
        </w:rPr>
        <w:t xml:space="preserve"> include black-white, blue-yellow, and green red. Also, it states that a combination of the three different </w:t>
      </w:r>
      <w:proofErr w:type="spellStart"/>
      <w:r w:rsidRPr="00430CBB">
        <w:rPr>
          <w:color w:val="1C1E29"/>
        </w:rPr>
        <w:t>colors</w:t>
      </w:r>
      <w:proofErr w:type="spellEnd"/>
      <w:r w:rsidRPr="00430CBB">
        <w:rPr>
          <w:color w:val="1C1E29"/>
        </w:rPr>
        <w:t xml:space="preserve"> would lead to color vision. Naturally, on staring on a bright red color for a moment, the most individual tends to look at a white surface, yielding to a perception of green color.</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 The rods and cones acting as photoreceptors ensure that light signal conversion to a signal the neurons can detect is efficient, leading to color vision in both theories. If an individual has only a single cone, they would only perceive one light, and on the increase of cones, boosts the ability of an individual to detect a variety of lights, depending on the types of cones.</w:t>
      </w:r>
    </w:p>
    <w:p w:rsidR="00992EF7" w:rsidRPr="00430CBB" w:rsidRDefault="00992EF7" w:rsidP="00430CBB">
      <w:pPr>
        <w:pStyle w:val="NormalWeb"/>
        <w:spacing w:before="0" w:beforeAutospacing="0" w:after="0" w:afterAutospacing="0" w:line="480" w:lineRule="auto"/>
        <w:jc w:val="center"/>
        <w:rPr>
          <w:color w:val="1C1E29"/>
        </w:rPr>
      </w:pPr>
      <w:r w:rsidRPr="00430CBB">
        <w:rPr>
          <w:rStyle w:val="Strong"/>
          <w:color w:val="1C1E29"/>
        </w:rPr>
        <w:t>Importance of pain perception and receptors</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Pain perception is vital since it triggers the escape of an individual from a situation, preventing excessive damages to crucial issues. Injuries of tissues would lead to insensitivity or even death. Hence perception is essential for the survival of living organisms. There are different pain receptors, as a variety of nociceptors. They include skin, joint, visceral, and silent nociceptors (</w:t>
      </w:r>
      <w:proofErr w:type="spellStart"/>
      <w:r w:rsidRPr="00430CBB">
        <w:rPr>
          <w:color w:val="1C1E29"/>
        </w:rPr>
        <w:t>Nachum</w:t>
      </w:r>
      <w:proofErr w:type="spellEnd"/>
      <w:r w:rsidRPr="00430CBB">
        <w:rPr>
          <w:color w:val="1C1E29"/>
        </w:rPr>
        <w:t>, 2019), each responsible for pain sensing in different parts of the body. They have unattached endings of the nerves in the various organs, detecting signals of the threat of damage in a tissue or an already existing damage in tissue.</w:t>
      </w:r>
    </w:p>
    <w:p w:rsidR="00992EF7" w:rsidRPr="00430CBB" w:rsidRDefault="00992EF7" w:rsidP="00430CBB">
      <w:pPr>
        <w:pStyle w:val="NormalWeb"/>
        <w:spacing w:before="0" w:beforeAutospacing="0" w:after="0" w:afterAutospacing="0" w:line="480" w:lineRule="auto"/>
        <w:ind w:firstLine="720"/>
        <w:jc w:val="both"/>
        <w:rPr>
          <w:color w:val="1C1E29"/>
        </w:rPr>
      </w:pPr>
      <w:r w:rsidRPr="00430CBB">
        <w:rPr>
          <w:color w:val="1C1E29"/>
        </w:rPr>
        <w:t xml:space="preserve"> Classification of skin nociceptors includes chemical, high threshold, thermal, and </w:t>
      </w:r>
      <w:proofErr w:type="spellStart"/>
      <w:r w:rsidRPr="00430CBB">
        <w:rPr>
          <w:color w:val="1C1E29"/>
        </w:rPr>
        <w:t>polymodal</w:t>
      </w:r>
      <w:proofErr w:type="spellEnd"/>
      <w:r w:rsidRPr="00430CBB">
        <w:rPr>
          <w:color w:val="1C1E29"/>
        </w:rPr>
        <w:t xml:space="preserve"> nociceptors. Chemical nociceptor detects and responds to chemical substances that would damage a tissue. High threshold responds to pinching, cuts, or any stimulation that occurs mechanically. </w:t>
      </w:r>
      <w:proofErr w:type="spellStart"/>
      <w:r w:rsidRPr="00430CBB">
        <w:rPr>
          <w:color w:val="1C1E29"/>
        </w:rPr>
        <w:t>Polymodal</w:t>
      </w:r>
      <w:proofErr w:type="spellEnd"/>
      <w:r w:rsidRPr="00430CBB">
        <w:rPr>
          <w:color w:val="1C1E29"/>
        </w:rPr>
        <w:t xml:space="preserve"> react to stimuli that can't be responded to by other receptors.</w:t>
      </w:r>
    </w:p>
    <w:p w:rsidR="00992EF7" w:rsidRPr="00430CBB" w:rsidRDefault="00992EF7" w:rsidP="00430CBB">
      <w:pPr>
        <w:pStyle w:val="NormalWeb"/>
        <w:spacing w:before="0" w:beforeAutospacing="0" w:after="0" w:afterAutospacing="0" w:line="480" w:lineRule="auto"/>
        <w:rPr>
          <w:color w:val="1C1E29"/>
        </w:rPr>
      </w:pPr>
      <w:r w:rsidRPr="00430CBB">
        <w:rPr>
          <w:color w:val="1C1E29"/>
        </w:rPr>
        <w:t> </w:t>
      </w:r>
    </w:p>
    <w:p w:rsidR="00925EB0" w:rsidRDefault="00925EB0">
      <w:pPr>
        <w:rPr>
          <w:rFonts w:ascii="Times New Roman" w:eastAsia="Times New Roman" w:hAnsi="Times New Roman" w:cs="Times New Roman"/>
          <w:color w:val="1C1E29"/>
          <w:sz w:val="24"/>
          <w:szCs w:val="24"/>
          <w:lang w:eastAsia="en-GB"/>
        </w:rPr>
      </w:pPr>
      <w:r>
        <w:rPr>
          <w:color w:val="1C1E29"/>
        </w:rPr>
        <w:br w:type="page"/>
      </w:r>
    </w:p>
    <w:p w:rsidR="00430CBB" w:rsidRPr="00430CBB" w:rsidRDefault="00992EF7" w:rsidP="00430CBB">
      <w:pPr>
        <w:pStyle w:val="NormalWeb"/>
        <w:spacing w:before="0" w:beforeAutospacing="0" w:after="0" w:afterAutospacing="0" w:line="480" w:lineRule="auto"/>
        <w:jc w:val="center"/>
        <w:rPr>
          <w:color w:val="1C1E29"/>
        </w:rPr>
      </w:pPr>
      <w:r w:rsidRPr="00430CBB">
        <w:rPr>
          <w:color w:val="1C1E29"/>
        </w:rPr>
        <w:lastRenderedPageBreak/>
        <w:t>References</w:t>
      </w:r>
    </w:p>
    <w:p w:rsidR="00430CBB" w:rsidRP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  Baffy, G. (2017). General Adaptation Syndrome. </w:t>
      </w:r>
      <w:proofErr w:type="spellStart"/>
      <w:r w:rsidRPr="00430CBB">
        <w:rPr>
          <w:rStyle w:val="Emphasis"/>
          <w:color w:val="1C1E29"/>
        </w:rPr>
        <w:t>Encyclopedia</w:t>
      </w:r>
      <w:proofErr w:type="spellEnd"/>
      <w:r w:rsidRPr="00430CBB">
        <w:rPr>
          <w:rStyle w:val="Emphasis"/>
          <w:color w:val="1C1E29"/>
        </w:rPr>
        <w:t xml:space="preserve"> of Personality and Individual Differences</w:t>
      </w:r>
      <w:r w:rsidRPr="00430CBB">
        <w:rPr>
          <w:color w:val="1C1E29"/>
        </w:rPr>
        <w:t>, 1-5.</w:t>
      </w:r>
    </w:p>
    <w:p w:rsidR="00430CBB" w:rsidRP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  Best, J. (Ed.). (2017). </w:t>
      </w:r>
      <w:r w:rsidRPr="00430CBB">
        <w:rPr>
          <w:rStyle w:val="Emphasis"/>
          <w:color w:val="1C1E29"/>
        </w:rPr>
        <w:t>Color design: theories and applications</w:t>
      </w:r>
      <w:r w:rsidRPr="00430CBB">
        <w:rPr>
          <w:color w:val="1C1E29"/>
        </w:rPr>
        <w:t xml:space="preserve">. </w:t>
      </w:r>
      <w:proofErr w:type="spellStart"/>
      <w:r w:rsidRPr="00430CBB">
        <w:rPr>
          <w:color w:val="1C1E29"/>
        </w:rPr>
        <w:t>Woodhead</w:t>
      </w:r>
      <w:proofErr w:type="spellEnd"/>
      <w:r w:rsidRPr="00430CBB">
        <w:rPr>
          <w:color w:val="1C1E29"/>
        </w:rPr>
        <w:t xml:space="preserve"> Publishing.</w:t>
      </w:r>
    </w:p>
    <w:p w:rsidR="00430CBB" w:rsidRP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  </w:t>
      </w:r>
      <w:proofErr w:type="spellStart"/>
      <w:r w:rsidRPr="00430CBB">
        <w:rPr>
          <w:color w:val="1C1E29"/>
        </w:rPr>
        <w:t>Jourjine</w:t>
      </w:r>
      <w:proofErr w:type="spellEnd"/>
      <w:r w:rsidRPr="00430CBB">
        <w:rPr>
          <w:color w:val="1C1E29"/>
        </w:rPr>
        <w:t xml:space="preserve">, N. (2017). Hunger and thirst interact to regulate </w:t>
      </w:r>
      <w:proofErr w:type="spellStart"/>
      <w:r w:rsidRPr="00430CBB">
        <w:rPr>
          <w:color w:val="1C1E29"/>
        </w:rPr>
        <w:t>ingestive</w:t>
      </w:r>
      <w:proofErr w:type="spellEnd"/>
      <w:r w:rsidRPr="00430CBB">
        <w:rPr>
          <w:color w:val="1C1E29"/>
        </w:rPr>
        <w:t xml:space="preserve"> </w:t>
      </w:r>
      <w:proofErr w:type="spellStart"/>
      <w:r w:rsidRPr="00430CBB">
        <w:rPr>
          <w:color w:val="1C1E29"/>
        </w:rPr>
        <w:t>behavior</w:t>
      </w:r>
      <w:proofErr w:type="spellEnd"/>
      <w:r w:rsidRPr="00430CBB">
        <w:rPr>
          <w:color w:val="1C1E29"/>
        </w:rPr>
        <w:t xml:space="preserve"> in flies and mammals. </w:t>
      </w:r>
      <w:proofErr w:type="spellStart"/>
      <w:r w:rsidRPr="00430CBB">
        <w:rPr>
          <w:rStyle w:val="Emphasis"/>
          <w:color w:val="1C1E29"/>
        </w:rPr>
        <w:t>Bioessays</w:t>
      </w:r>
      <w:proofErr w:type="spellEnd"/>
      <w:r w:rsidRPr="00430CBB">
        <w:rPr>
          <w:color w:val="1C1E29"/>
        </w:rPr>
        <w:t>, </w:t>
      </w:r>
      <w:r w:rsidRPr="00430CBB">
        <w:rPr>
          <w:rStyle w:val="Emphasis"/>
          <w:color w:val="1C1E29"/>
        </w:rPr>
        <w:t>39</w:t>
      </w:r>
      <w:r w:rsidRPr="00430CBB">
        <w:rPr>
          <w:color w:val="1C1E29"/>
        </w:rPr>
        <w:t>(5), 1600261.</w:t>
      </w:r>
    </w:p>
    <w:p w:rsid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Megan L.,(2016, April 13) Discuss the stages of consciousness including wake, interruptions of consciousness and phases of sleep </w:t>
      </w:r>
      <w:r w:rsidRPr="00430CBB">
        <w:rPr>
          <w:rStyle w:val="Emphasis"/>
          <w:color w:val="1C1E29"/>
        </w:rPr>
        <w:t>McDaniel College</w:t>
      </w:r>
      <w:r w:rsidRPr="00430CBB">
        <w:rPr>
          <w:color w:val="1C1E29"/>
        </w:rPr>
        <w:t> Retrieved from </w:t>
      </w:r>
      <w:r w:rsidRPr="00430CBB">
        <w:rPr>
          <w:rStyle w:val="Emphasis"/>
          <w:color w:val="1C1E29"/>
        </w:rPr>
        <w:t> </w:t>
      </w:r>
      <w:hyperlink r:id="rId6" w:tgtFrame="_blank" w:history="1">
        <w:r w:rsidRPr="00430CBB">
          <w:rPr>
            <w:rStyle w:val="Hyperlink"/>
            <w:color w:val="4A6EE0"/>
          </w:rPr>
          <w:t>https://www.chegg.com/tutors/Psychology-questions/Discuss-the-stages-of-consciousness-including-wake-interruptions-of-consciousness-and-the-stages-of-sleep-Summarize-what-a-persons-circadian-rhythm-is-and-provide-examples-of-how-a-person-can-disturb-the-internal-schedule-Include-a-scenario-where-time-was--O2KI5/</w:t>
        </w:r>
      </w:hyperlink>
    </w:p>
    <w:p w:rsidR="00430CBB" w:rsidRPr="00430CBB" w:rsidRDefault="00430CBB" w:rsidP="00925EB0">
      <w:pPr>
        <w:pStyle w:val="NormalWeb"/>
        <w:spacing w:before="0" w:beforeAutospacing="0" w:after="0" w:afterAutospacing="0" w:line="480" w:lineRule="auto"/>
        <w:ind w:left="720" w:hanging="720"/>
        <w:rPr>
          <w:color w:val="1C1E29"/>
        </w:rPr>
      </w:pPr>
      <w:proofErr w:type="spellStart"/>
      <w:r>
        <w:rPr>
          <w:color w:val="1C1E29"/>
        </w:rPr>
        <w:t>Nachum</w:t>
      </w:r>
      <w:proofErr w:type="spellEnd"/>
      <w:r>
        <w:rPr>
          <w:color w:val="1C1E29"/>
        </w:rPr>
        <w:t xml:space="preserve"> </w:t>
      </w:r>
      <w:proofErr w:type="spellStart"/>
      <w:r>
        <w:rPr>
          <w:color w:val="1C1E29"/>
        </w:rPr>
        <w:t>Dafny</w:t>
      </w:r>
      <w:proofErr w:type="spellEnd"/>
      <w:r>
        <w:rPr>
          <w:color w:val="1C1E29"/>
        </w:rPr>
        <w:t xml:space="preserve">, Ph.D., Department of Neurobiology and Anatomy (2019, July) Pain principles, </w:t>
      </w:r>
      <w:proofErr w:type="spellStart"/>
      <w:r w:rsidRPr="00430CBB">
        <w:rPr>
          <w:i/>
          <w:color w:val="1C1E29"/>
        </w:rPr>
        <w:t>McGovernMedicalSchool</w:t>
      </w:r>
      <w:proofErr w:type="spellEnd"/>
      <w:r>
        <w:rPr>
          <w:color w:val="1C1E29"/>
        </w:rPr>
        <w:t xml:space="preserve"> </w:t>
      </w:r>
      <w:bookmarkStart w:id="0" w:name="_GoBack"/>
      <w:bookmarkEnd w:id="0"/>
      <w:r>
        <w:rPr>
          <w:color w:val="1C1E29"/>
        </w:rPr>
        <w:t xml:space="preserve">Retrieved from </w:t>
      </w:r>
      <w:r w:rsidRPr="00430CBB">
        <w:rPr>
          <w:color w:val="1C1E29"/>
        </w:rPr>
        <w:t>https://nba.uth.tmc.edu/neuroscience/m/s2/chapter06.html</w:t>
      </w:r>
      <w:r>
        <w:rPr>
          <w:color w:val="1C1E29"/>
        </w:rPr>
        <w:t xml:space="preserve"> </w:t>
      </w:r>
    </w:p>
    <w:p w:rsidR="00430CBB" w:rsidRP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  </w:t>
      </w:r>
      <w:proofErr w:type="spellStart"/>
      <w:r w:rsidRPr="00430CBB">
        <w:rPr>
          <w:color w:val="1C1E29"/>
        </w:rPr>
        <w:t>Riès</w:t>
      </w:r>
      <w:proofErr w:type="spellEnd"/>
      <w:r w:rsidRPr="00430CBB">
        <w:rPr>
          <w:color w:val="1C1E29"/>
        </w:rPr>
        <w:t xml:space="preserve">, S. K., </w:t>
      </w:r>
      <w:proofErr w:type="spellStart"/>
      <w:r w:rsidRPr="00430CBB">
        <w:rPr>
          <w:color w:val="1C1E29"/>
        </w:rPr>
        <w:t>Dronkers</w:t>
      </w:r>
      <w:proofErr w:type="spellEnd"/>
      <w:r w:rsidRPr="00430CBB">
        <w:rPr>
          <w:color w:val="1C1E29"/>
        </w:rPr>
        <w:t>, N. F., &amp; Knight, R. T. (2016). Choosing words: left hemisphere, right hemisphere, or both? Perspective on the lateralization of word retrieval. </w:t>
      </w:r>
      <w:r w:rsidRPr="00430CBB">
        <w:rPr>
          <w:rStyle w:val="Emphasis"/>
          <w:color w:val="1C1E29"/>
        </w:rPr>
        <w:t>Annals of the New York Academy of Sciences</w:t>
      </w:r>
      <w:r w:rsidRPr="00430CBB">
        <w:rPr>
          <w:color w:val="1C1E29"/>
        </w:rPr>
        <w:t>, </w:t>
      </w:r>
      <w:r w:rsidRPr="00430CBB">
        <w:rPr>
          <w:rStyle w:val="Emphasis"/>
          <w:color w:val="1C1E29"/>
        </w:rPr>
        <w:t>1369</w:t>
      </w:r>
      <w:r w:rsidRPr="00430CBB">
        <w:rPr>
          <w:color w:val="1C1E29"/>
        </w:rPr>
        <w:t>(1), 111.</w:t>
      </w:r>
    </w:p>
    <w:p w:rsidR="00430CBB" w:rsidRPr="00430CBB" w:rsidRDefault="00430CBB" w:rsidP="00430CBB">
      <w:pPr>
        <w:pStyle w:val="NormalWeb"/>
        <w:spacing w:before="0" w:beforeAutospacing="0" w:after="0" w:afterAutospacing="0" w:line="480" w:lineRule="auto"/>
        <w:ind w:left="720" w:hanging="720"/>
        <w:jc w:val="both"/>
        <w:rPr>
          <w:color w:val="1C1E29"/>
        </w:rPr>
      </w:pPr>
      <w:r w:rsidRPr="00430CBB">
        <w:rPr>
          <w:color w:val="1C1E29"/>
        </w:rPr>
        <w:t xml:space="preserve">Valentin </w:t>
      </w:r>
      <w:proofErr w:type="spellStart"/>
      <w:r w:rsidRPr="00430CBB">
        <w:rPr>
          <w:color w:val="1C1E29"/>
        </w:rPr>
        <w:t>Dragoi</w:t>
      </w:r>
      <w:proofErr w:type="spellEnd"/>
      <w:r w:rsidRPr="00430CBB">
        <w:rPr>
          <w:color w:val="1C1E29"/>
        </w:rPr>
        <w:t>, Ph.D., Department of Neurobiology and Anatomy,(2018, march) </w:t>
      </w:r>
      <w:r>
        <w:rPr>
          <w:rStyle w:val="Emphasis"/>
          <w:color w:val="1C1E29"/>
        </w:rPr>
        <w:t>McGovern Medical</w:t>
      </w:r>
      <w:r w:rsidRPr="00430CBB">
        <w:rPr>
          <w:rStyle w:val="Emphasis"/>
          <w:color w:val="1C1E29"/>
        </w:rPr>
        <w:t>School</w:t>
      </w:r>
      <w:r>
        <w:rPr>
          <w:color w:val="1C1E29"/>
        </w:rPr>
        <w:t>Retrieved</w:t>
      </w:r>
      <w:r w:rsidRPr="00430CBB">
        <w:rPr>
          <w:color w:val="1C1E29"/>
        </w:rPr>
        <w:t>from </w:t>
      </w:r>
      <w:hyperlink r:id="rId7" w:tgtFrame="_blank" w:history="1">
        <w:r w:rsidRPr="00430CBB">
          <w:rPr>
            <w:rStyle w:val="Hyperlink"/>
            <w:color w:val="4A6EE0"/>
          </w:rPr>
          <w:t>https://nba.uth.tmc.edu/neuroscience/m/s2/chapter15.html</w:t>
        </w:r>
      </w:hyperlink>
      <w:r w:rsidRPr="00430CBB">
        <w:rPr>
          <w:color w:val="1C1E29"/>
        </w:rPr>
        <w:t>.</w:t>
      </w:r>
    </w:p>
    <w:p w:rsidR="00992EF7" w:rsidRPr="00430CBB" w:rsidRDefault="00992EF7" w:rsidP="00430CBB">
      <w:pPr>
        <w:pStyle w:val="NormalWeb"/>
        <w:spacing w:before="0" w:beforeAutospacing="0" w:after="0" w:afterAutospacing="0" w:line="480" w:lineRule="auto"/>
        <w:rPr>
          <w:color w:val="1C1E29"/>
        </w:rPr>
      </w:pPr>
    </w:p>
    <w:p w:rsidR="00992EF7" w:rsidRPr="00430CBB" w:rsidRDefault="00992EF7" w:rsidP="00430CBB">
      <w:pPr>
        <w:pStyle w:val="NormalWeb"/>
        <w:spacing w:before="0" w:beforeAutospacing="0" w:after="0" w:afterAutospacing="0" w:line="480" w:lineRule="auto"/>
        <w:rPr>
          <w:color w:val="1C1E29"/>
        </w:rPr>
      </w:pPr>
    </w:p>
    <w:p w:rsidR="00804752" w:rsidRPr="00430CBB" w:rsidRDefault="00804752" w:rsidP="00430CBB">
      <w:pPr>
        <w:spacing w:line="480" w:lineRule="auto"/>
        <w:rPr>
          <w:rFonts w:ascii="Times New Roman" w:hAnsi="Times New Roman" w:cs="Times New Roman"/>
          <w:sz w:val="24"/>
          <w:szCs w:val="24"/>
        </w:rPr>
      </w:pPr>
    </w:p>
    <w:sectPr w:rsidR="00804752" w:rsidRPr="00430CBB" w:rsidSect="00F53BF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ADF" w:rsidRDefault="00330ADF" w:rsidP="00F53BF0">
      <w:pPr>
        <w:spacing w:after="0" w:line="240" w:lineRule="auto"/>
      </w:pPr>
      <w:r>
        <w:separator/>
      </w:r>
    </w:p>
  </w:endnote>
  <w:endnote w:type="continuationSeparator" w:id="0">
    <w:p w:rsidR="00330ADF" w:rsidRDefault="00330ADF" w:rsidP="00F53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ADF" w:rsidRDefault="00330ADF" w:rsidP="00F53BF0">
      <w:pPr>
        <w:spacing w:after="0" w:line="240" w:lineRule="auto"/>
      </w:pPr>
      <w:r>
        <w:separator/>
      </w:r>
    </w:p>
  </w:footnote>
  <w:footnote w:type="continuationSeparator" w:id="0">
    <w:p w:rsidR="00330ADF" w:rsidRDefault="00330ADF" w:rsidP="00F53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460615"/>
      <w:docPartObj>
        <w:docPartGallery w:val="Page Numbers (Top of Page)"/>
        <w:docPartUnique/>
      </w:docPartObj>
    </w:sdtPr>
    <w:sdtEndPr>
      <w:rPr>
        <w:noProof/>
      </w:rPr>
    </w:sdtEndPr>
    <w:sdtContent>
      <w:p w:rsidR="00F53BF0" w:rsidRDefault="00F53BF0">
        <w:pPr>
          <w:pStyle w:val="Header"/>
          <w:jc w:val="right"/>
        </w:pPr>
        <w:r w:rsidRPr="00F53BF0">
          <w:rPr>
            <w:rFonts w:ascii="Times New Roman" w:hAnsi="Times New Roman" w:cs="Times New Roman"/>
            <w:sz w:val="24"/>
            <w:szCs w:val="24"/>
          </w:rPr>
          <w:fldChar w:fldCharType="begin"/>
        </w:r>
        <w:r w:rsidRPr="00F53BF0">
          <w:rPr>
            <w:rFonts w:ascii="Times New Roman" w:hAnsi="Times New Roman" w:cs="Times New Roman"/>
            <w:sz w:val="24"/>
            <w:szCs w:val="24"/>
          </w:rPr>
          <w:instrText xml:space="preserve"> PAGE   \* MERGEFORMAT </w:instrText>
        </w:r>
        <w:r w:rsidRPr="00F53BF0">
          <w:rPr>
            <w:rFonts w:ascii="Times New Roman" w:hAnsi="Times New Roman" w:cs="Times New Roman"/>
            <w:sz w:val="24"/>
            <w:szCs w:val="24"/>
          </w:rPr>
          <w:fldChar w:fldCharType="separate"/>
        </w:r>
        <w:r w:rsidR="00925EB0">
          <w:rPr>
            <w:rFonts w:ascii="Times New Roman" w:hAnsi="Times New Roman" w:cs="Times New Roman"/>
            <w:noProof/>
            <w:sz w:val="24"/>
            <w:szCs w:val="24"/>
          </w:rPr>
          <w:t>6</w:t>
        </w:r>
        <w:r w:rsidRPr="00F53BF0">
          <w:rPr>
            <w:rFonts w:ascii="Times New Roman" w:hAnsi="Times New Roman" w:cs="Times New Roman"/>
            <w:noProof/>
            <w:sz w:val="24"/>
            <w:szCs w:val="24"/>
          </w:rPr>
          <w:fldChar w:fldCharType="end"/>
        </w:r>
      </w:p>
    </w:sdtContent>
  </w:sdt>
  <w:p w:rsidR="00F53BF0" w:rsidRDefault="00F53BF0">
    <w:pPr>
      <w:pStyle w:val="Header"/>
    </w:pPr>
    <w:r w:rsidRPr="00F53BF0">
      <w:rPr>
        <w:rFonts w:ascii="Times New Roman" w:hAnsi="Times New Roman" w:cs="Times New Roman"/>
        <w:sz w:val="24"/>
        <w:szCs w:val="24"/>
      </w:rPr>
      <w:t>HEALTH ASSIGNMENT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BF0" w:rsidRPr="00F53BF0" w:rsidRDefault="00925EB0">
    <w:pPr>
      <w:pStyle w:val="Header"/>
      <w:rPr>
        <w:rFonts w:ascii="Times New Roman" w:hAnsi="Times New Roman" w:cs="Times New Roman"/>
        <w:sz w:val="24"/>
        <w:szCs w:val="24"/>
      </w:rPr>
    </w:pPr>
    <w:r w:rsidRPr="00F53BF0">
      <w:rPr>
        <w:rFonts w:ascii="Times New Roman" w:hAnsi="Times New Roman" w:cs="Times New Roman"/>
        <w:sz w:val="24"/>
        <w:szCs w:val="24"/>
      </w:rPr>
      <w:t>Running head</w:t>
    </w:r>
    <w:r w:rsidR="00F53BF0" w:rsidRPr="00F53BF0">
      <w:rPr>
        <w:rFonts w:ascii="Times New Roman" w:hAnsi="Times New Roman" w:cs="Times New Roman"/>
        <w:sz w:val="24"/>
        <w:szCs w:val="24"/>
      </w:rPr>
      <w:t>: HEALTH ASSIGNMENT</w:t>
    </w:r>
    <w:r>
      <w:rPr>
        <w:rFonts w:ascii="Times New Roman" w:hAnsi="Times New Roman" w:cs="Times New Roman"/>
        <w:sz w:val="24"/>
        <w:szCs w:val="24"/>
      </w:rPr>
      <w:tab/>
    </w:r>
    <w:r>
      <w:rPr>
        <w:rFonts w:ascii="Times New Roman" w:hAnsi="Times New Roman" w:cs="Times New Roman"/>
        <w:sz w:val="24"/>
        <w:szCs w:val="24"/>
      </w:rPr>
      <w:tab/>
    </w:r>
    <w:r w:rsidRPr="00925EB0">
      <w:rPr>
        <w:rFonts w:ascii="Times New Roman" w:hAnsi="Times New Roman" w:cs="Times New Roman"/>
        <w:sz w:val="24"/>
        <w:szCs w:val="24"/>
      </w:rPr>
      <w:fldChar w:fldCharType="begin"/>
    </w:r>
    <w:r w:rsidRPr="00925EB0">
      <w:rPr>
        <w:rFonts w:ascii="Times New Roman" w:hAnsi="Times New Roman" w:cs="Times New Roman"/>
        <w:sz w:val="24"/>
        <w:szCs w:val="24"/>
      </w:rPr>
      <w:instrText xml:space="preserve"> PAGE   \* MERGEFORMAT </w:instrText>
    </w:r>
    <w:r w:rsidRPr="00925EB0">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5E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58F"/>
    <w:rsid w:val="00053C6E"/>
    <w:rsid w:val="000543F7"/>
    <w:rsid w:val="000670E4"/>
    <w:rsid w:val="000C78B8"/>
    <w:rsid w:val="00190723"/>
    <w:rsid w:val="00197723"/>
    <w:rsid w:val="002E62C5"/>
    <w:rsid w:val="0030758F"/>
    <w:rsid w:val="00330ADF"/>
    <w:rsid w:val="00392978"/>
    <w:rsid w:val="00430CBB"/>
    <w:rsid w:val="00480EDB"/>
    <w:rsid w:val="005565AB"/>
    <w:rsid w:val="006A1D69"/>
    <w:rsid w:val="006E6AD1"/>
    <w:rsid w:val="007E1045"/>
    <w:rsid w:val="00804752"/>
    <w:rsid w:val="00825F3C"/>
    <w:rsid w:val="009001E1"/>
    <w:rsid w:val="00925EB0"/>
    <w:rsid w:val="00992EF7"/>
    <w:rsid w:val="009A5198"/>
    <w:rsid w:val="009D6221"/>
    <w:rsid w:val="00AF23D1"/>
    <w:rsid w:val="00B74FD2"/>
    <w:rsid w:val="00CF069C"/>
    <w:rsid w:val="00CF76BD"/>
    <w:rsid w:val="00D27F78"/>
    <w:rsid w:val="00DE42CB"/>
    <w:rsid w:val="00F42A6E"/>
    <w:rsid w:val="00F53BF0"/>
    <w:rsid w:val="00F77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E764"/>
  <w15:chartTrackingRefBased/>
  <w15:docId w15:val="{0DD707BF-623F-4F66-8819-972A9792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5F3C"/>
    <w:rPr>
      <w:color w:val="0000FF"/>
      <w:u w:val="single"/>
    </w:rPr>
  </w:style>
  <w:style w:type="paragraph" w:styleId="NormalWeb">
    <w:name w:val="Normal (Web)"/>
    <w:basedOn w:val="Normal"/>
    <w:uiPriority w:val="99"/>
    <w:semiHidden/>
    <w:unhideWhenUsed/>
    <w:rsid w:val="00F772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7722B"/>
    <w:rPr>
      <w:b/>
      <w:bCs/>
    </w:rPr>
  </w:style>
  <w:style w:type="character" w:styleId="Emphasis">
    <w:name w:val="Emphasis"/>
    <w:basedOn w:val="DefaultParagraphFont"/>
    <w:uiPriority w:val="20"/>
    <w:qFormat/>
    <w:rsid w:val="00F7722B"/>
    <w:rPr>
      <w:i/>
      <w:iCs/>
    </w:rPr>
  </w:style>
  <w:style w:type="paragraph" w:styleId="Header">
    <w:name w:val="header"/>
    <w:basedOn w:val="Normal"/>
    <w:link w:val="HeaderChar"/>
    <w:uiPriority w:val="99"/>
    <w:unhideWhenUsed/>
    <w:rsid w:val="00F53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BF0"/>
  </w:style>
  <w:style w:type="paragraph" w:styleId="Footer">
    <w:name w:val="footer"/>
    <w:basedOn w:val="Normal"/>
    <w:link w:val="FooterChar"/>
    <w:uiPriority w:val="99"/>
    <w:unhideWhenUsed/>
    <w:rsid w:val="00F53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918266">
      <w:bodyDiv w:val="1"/>
      <w:marLeft w:val="0"/>
      <w:marRight w:val="0"/>
      <w:marTop w:val="0"/>
      <w:marBottom w:val="0"/>
      <w:divBdr>
        <w:top w:val="none" w:sz="0" w:space="0" w:color="auto"/>
        <w:left w:val="none" w:sz="0" w:space="0" w:color="auto"/>
        <w:bottom w:val="none" w:sz="0" w:space="0" w:color="auto"/>
        <w:right w:val="none" w:sz="0" w:space="0" w:color="auto"/>
      </w:divBdr>
    </w:div>
    <w:div w:id="1365058711">
      <w:bodyDiv w:val="1"/>
      <w:marLeft w:val="0"/>
      <w:marRight w:val="0"/>
      <w:marTop w:val="0"/>
      <w:marBottom w:val="0"/>
      <w:divBdr>
        <w:top w:val="none" w:sz="0" w:space="0" w:color="auto"/>
        <w:left w:val="none" w:sz="0" w:space="0" w:color="auto"/>
        <w:bottom w:val="none" w:sz="0" w:space="0" w:color="auto"/>
        <w:right w:val="none" w:sz="0" w:space="0" w:color="auto"/>
      </w:divBdr>
      <w:divsChild>
        <w:div w:id="1528955158">
          <w:marLeft w:val="0"/>
          <w:marRight w:val="0"/>
          <w:marTop w:val="0"/>
          <w:marBottom w:val="0"/>
          <w:divBdr>
            <w:top w:val="none" w:sz="0" w:space="0" w:color="auto"/>
            <w:left w:val="none" w:sz="0" w:space="0" w:color="auto"/>
            <w:bottom w:val="none" w:sz="0" w:space="0" w:color="auto"/>
            <w:right w:val="none" w:sz="0" w:space="0" w:color="auto"/>
          </w:divBdr>
        </w:div>
      </w:divsChild>
    </w:div>
    <w:div w:id="1415123294">
      <w:bodyDiv w:val="1"/>
      <w:marLeft w:val="0"/>
      <w:marRight w:val="0"/>
      <w:marTop w:val="0"/>
      <w:marBottom w:val="0"/>
      <w:divBdr>
        <w:top w:val="none" w:sz="0" w:space="0" w:color="auto"/>
        <w:left w:val="none" w:sz="0" w:space="0" w:color="auto"/>
        <w:bottom w:val="none" w:sz="0" w:space="0" w:color="auto"/>
        <w:right w:val="none" w:sz="0" w:space="0" w:color="auto"/>
      </w:divBdr>
      <w:divsChild>
        <w:div w:id="1134370794">
          <w:marLeft w:val="0"/>
          <w:marRight w:val="0"/>
          <w:marTop w:val="0"/>
          <w:marBottom w:val="0"/>
          <w:divBdr>
            <w:top w:val="none" w:sz="0" w:space="0" w:color="auto"/>
            <w:left w:val="none" w:sz="0" w:space="0" w:color="auto"/>
            <w:bottom w:val="none" w:sz="0" w:space="0" w:color="auto"/>
            <w:right w:val="none" w:sz="0" w:space="0" w:color="auto"/>
          </w:divBdr>
        </w:div>
      </w:divsChild>
    </w:div>
    <w:div w:id="167669053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25955488">
          <w:marLeft w:val="0"/>
          <w:marRight w:val="0"/>
          <w:marTop w:val="0"/>
          <w:marBottom w:val="0"/>
          <w:divBdr>
            <w:top w:val="none" w:sz="0" w:space="0" w:color="auto"/>
            <w:left w:val="none" w:sz="0" w:space="0" w:color="auto"/>
            <w:bottom w:val="none" w:sz="0" w:space="0" w:color="auto"/>
            <w:right w:val="none" w:sz="0" w:space="0" w:color="auto"/>
          </w:divBdr>
        </w:div>
      </w:divsChild>
    </w:div>
    <w:div w:id="1929655393">
      <w:bodyDiv w:val="1"/>
      <w:marLeft w:val="0"/>
      <w:marRight w:val="0"/>
      <w:marTop w:val="0"/>
      <w:marBottom w:val="0"/>
      <w:divBdr>
        <w:top w:val="none" w:sz="0" w:space="0" w:color="auto"/>
        <w:left w:val="none" w:sz="0" w:space="0" w:color="auto"/>
        <w:bottom w:val="none" w:sz="0" w:space="0" w:color="auto"/>
        <w:right w:val="none" w:sz="0" w:space="0" w:color="auto"/>
      </w:divBdr>
      <w:divsChild>
        <w:div w:id="1028679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ba.uth.tmc.edu/neuroscience/m/s2/chapter15.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egg.com/tutors/Psychology-questions/Discuss-the-stages-of-consciousness-including-wake-interruptions-of-consciousness-and-the-stages-of-sleep-Summarize-what-a-persons-circadian-rhythm-is-and-provide-examples-of-how-a-person-can-disturb-the-internal-schedule-Include-a-scenario-where-time-was--O2KI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2020-01-20T17:50:00Z</dcterms:created>
  <dcterms:modified xsi:type="dcterms:W3CDTF">2020-01-20T17:50:00Z</dcterms:modified>
</cp:coreProperties>
</file>